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360" w:lineRule="auto"/>
        <w:contextualSpacing w:val="0"/>
        <w:rPr>
          <w:rFonts w:ascii="Arial" w:cs="Arial" w:eastAsia="Arial" w:hAnsi="Arial"/>
          <w:b w:val="1"/>
          <w:i w:val="1"/>
          <w:sz w:val="28"/>
          <w:szCs w:val="28"/>
        </w:rPr>
      </w:pPr>
      <w:r w:rsidDel="00000000" w:rsidR="00000000" w:rsidRPr="00000000">
        <w:rPr>
          <w:rFonts w:ascii="Arial" w:cs="Arial" w:eastAsia="Arial" w:hAnsi="Arial"/>
          <w:b w:val="1"/>
          <w:i w:val="1"/>
          <w:sz w:val="28"/>
          <w:szCs w:val="28"/>
        </w:rPr>
        <w:drawing>
          <wp:inline distB="114300" distT="114300" distL="114300" distR="114300">
            <wp:extent cx="3542983" cy="1151020"/>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3542983" cy="1151020"/>
                    </a:xfrm>
                    <a:prstGeom prst="rect"/>
                    <a:ln/>
                  </pic:spPr>
                </pic:pic>
              </a:graphicData>
            </a:graphic>
          </wp:inline>
        </w:drawing>
      </w:r>
      <w:r w:rsidDel="00000000" w:rsidR="00000000" w:rsidRPr="00000000">
        <w:rPr>
          <w:rtl w:val="0"/>
        </w:rPr>
      </w:r>
    </w:p>
    <w:p w:rsidR="00000000" w:rsidDel="00000000" w:rsidP="00000000" w:rsidRDefault="00000000" w:rsidRPr="00000000">
      <w:pPr>
        <w:spacing w:line="360" w:lineRule="auto"/>
        <w:contextualSpacing w:val="0"/>
        <w:rPr>
          <w:rFonts w:ascii="Arial" w:cs="Arial" w:eastAsia="Arial" w:hAnsi="Arial"/>
          <w:b w:val="1"/>
          <w:i w:val="1"/>
          <w:sz w:val="28"/>
          <w:szCs w:val="28"/>
        </w:rPr>
      </w:pPr>
      <w:r w:rsidDel="00000000" w:rsidR="00000000" w:rsidRPr="00000000">
        <w:rPr>
          <w:rtl w:val="0"/>
        </w:rPr>
      </w:r>
    </w:p>
    <w:p w:rsidR="00000000" w:rsidDel="00000000" w:rsidP="00000000" w:rsidRDefault="00000000" w:rsidRPr="00000000">
      <w:pPr>
        <w:spacing w:line="360" w:lineRule="auto"/>
        <w:contextualSpacing w:val="0"/>
        <w:rPr>
          <w:rFonts w:ascii="Arial" w:cs="Arial" w:eastAsia="Arial" w:hAnsi="Arial"/>
          <w:b w:val="1"/>
          <w:i w:val="1"/>
          <w:sz w:val="28"/>
          <w:szCs w:val="28"/>
        </w:rPr>
      </w:pPr>
      <w:r w:rsidDel="00000000" w:rsidR="00000000" w:rsidRPr="00000000">
        <w:rPr>
          <w:rtl w:val="0"/>
        </w:rPr>
      </w:r>
    </w:p>
    <w:p w:rsidR="00000000" w:rsidDel="00000000" w:rsidP="00000000" w:rsidRDefault="00000000" w:rsidRPr="00000000">
      <w:pPr>
        <w:spacing w:line="360" w:lineRule="auto"/>
        <w:contextualSpacing w:val="0"/>
        <w:rPr>
          <w:rFonts w:ascii="Arial" w:cs="Arial" w:eastAsia="Arial" w:hAnsi="Arial"/>
          <w:b w:val="1"/>
          <w:i w:val="1"/>
          <w:sz w:val="28"/>
          <w:szCs w:val="28"/>
        </w:rPr>
      </w:pPr>
      <w:r w:rsidDel="00000000" w:rsidR="00000000" w:rsidRPr="00000000">
        <w:rPr>
          <w:rtl w:val="0"/>
        </w:rPr>
      </w:r>
    </w:p>
    <w:p w:rsidR="00000000" w:rsidDel="00000000" w:rsidP="00000000" w:rsidRDefault="00000000" w:rsidRPr="00000000">
      <w:pPr>
        <w:spacing w:line="360" w:lineRule="auto"/>
        <w:contextualSpacing w:val="0"/>
        <w:rPr>
          <w:rFonts w:ascii="Arial" w:cs="Arial" w:eastAsia="Arial" w:hAnsi="Arial"/>
          <w:b w:val="1"/>
          <w:i w:val="1"/>
          <w:sz w:val="28"/>
          <w:szCs w:val="28"/>
        </w:rPr>
      </w:pPr>
      <w:r w:rsidDel="00000000" w:rsidR="00000000" w:rsidRPr="00000000">
        <w:rPr>
          <w:rtl w:val="0"/>
        </w:rPr>
      </w:r>
    </w:p>
    <w:p w:rsidR="00000000" w:rsidDel="00000000" w:rsidP="00000000" w:rsidRDefault="00000000" w:rsidRPr="00000000">
      <w:pPr>
        <w:spacing w:line="360" w:lineRule="auto"/>
        <w:contextualSpacing w:val="0"/>
        <w:jc w:val="center"/>
        <w:rPr>
          <w:rFonts w:ascii="Arial" w:cs="Arial" w:eastAsia="Arial" w:hAnsi="Arial"/>
          <w:b w:val="1"/>
          <w:i w:val="1"/>
          <w:sz w:val="72"/>
          <w:szCs w:val="72"/>
        </w:rPr>
      </w:pPr>
      <w:r w:rsidDel="00000000" w:rsidR="00000000" w:rsidRPr="00000000">
        <w:rPr>
          <w:rFonts w:ascii="Arial" w:cs="Arial" w:eastAsia="Arial" w:hAnsi="Arial"/>
          <w:b w:val="1"/>
          <w:i w:val="1"/>
          <w:sz w:val="72"/>
          <w:szCs w:val="72"/>
          <w:rtl w:val="0"/>
        </w:rPr>
        <w:t xml:space="preserve">Estudio de Caso:</w:t>
      </w:r>
    </w:p>
    <w:p w:rsidR="00000000" w:rsidDel="00000000" w:rsidP="00000000" w:rsidRDefault="00000000" w:rsidRPr="00000000">
      <w:pPr>
        <w:spacing w:line="360" w:lineRule="auto"/>
        <w:contextualSpacing w:val="0"/>
        <w:jc w:val="center"/>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Una primera aproximación reflexiva a la inclusión de estudiantes con NEE en  las clases de inglés, a nivel escolar, en Chile</w:t>
      </w:r>
    </w:p>
    <w:p w:rsidR="00000000" w:rsidDel="00000000" w:rsidP="00000000" w:rsidRDefault="00000000" w:rsidRPr="00000000">
      <w:pPr>
        <w:spacing w:line="360" w:lineRule="auto"/>
        <w:contextualSpacing w:val="0"/>
        <w:jc w:val="cente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pPr>
        <w:spacing w:line="360" w:lineRule="auto"/>
        <w:contextualSpacing w:val="0"/>
        <w:jc w:val="cente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pPr>
        <w:spacing w:line="360" w:lineRule="auto"/>
        <w:contextualSpacing w:val="0"/>
        <w:jc w:val="cente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pPr>
        <w:spacing w:line="360" w:lineRule="auto"/>
        <w:contextualSpacing w:val="0"/>
        <w:jc w:val="center"/>
        <w:rPr>
          <w:rFonts w:ascii="Arial" w:cs="Arial" w:eastAsia="Arial" w:hAnsi="Arial"/>
          <w:b w:val="1"/>
          <w:i w:val="1"/>
          <w:sz w:val="28"/>
          <w:szCs w:val="28"/>
        </w:rPr>
      </w:pPr>
      <w:r w:rsidDel="00000000" w:rsidR="00000000" w:rsidRPr="00000000">
        <w:rPr>
          <w:rtl w:val="0"/>
        </w:rPr>
      </w:r>
    </w:p>
    <w:p w:rsidR="00000000" w:rsidDel="00000000" w:rsidP="00000000" w:rsidRDefault="00000000" w:rsidRPr="00000000">
      <w:pPr>
        <w:spacing w:line="360" w:lineRule="auto"/>
        <w:contextualSpacing w:val="0"/>
        <w:jc w:val="right"/>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Luis Gutierrez O.</w:t>
      </w:r>
    </w:p>
    <w:p w:rsidR="00000000" w:rsidDel="00000000" w:rsidP="00000000" w:rsidRDefault="00000000" w:rsidRPr="00000000">
      <w:pPr>
        <w:spacing w:line="360" w:lineRule="auto"/>
        <w:contextualSpacing w:val="0"/>
        <w:jc w:val="right"/>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Alexa Reichelt B.</w:t>
      </w:r>
    </w:p>
    <w:p w:rsidR="00000000" w:rsidDel="00000000" w:rsidP="00000000" w:rsidRDefault="00000000" w:rsidRPr="00000000">
      <w:pPr>
        <w:spacing w:line="360" w:lineRule="auto"/>
        <w:contextualSpacing w:val="0"/>
        <w:rPr>
          <w:rFonts w:ascii="Arial" w:cs="Arial" w:eastAsia="Arial" w:hAnsi="Arial"/>
          <w:b w:val="1"/>
          <w:i w:val="1"/>
          <w:sz w:val="28"/>
          <w:szCs w:val="28"/>
        </w:rPr>
      </w:pPr>
      <w:r w:rsidDel="00000000" w:rsidR="00000000" w:rsidRPr="00000000">
        <w:rPr>
          <w:rtl w:val="0"/>
        </w:rPr>
      </w:r>
    </w:p>
    <w:p w:rsidR="00000000" w:rsidDel="00000000" w:rsidP="00000000" w:rsidRDefault="00000000" w:rsidRPr="00000000">
      <w:pPr>
        <w:spacing w:line="360" w:lineRule="auto"/>
        <w:contextualSpacing w:val="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December 4</w:t>
      </w:r>
      <w:r w:rsidDel="00000000" w:rsidR="00000000" w:rsidRPr="00000000">
        <w:rPr>
          <w:rFonts w:ascii="Arial" w:cs="Arial" w:eastAsia="Arial" w:hAnsi="Arial"/>
          <w:sz w:val="28"/>
          <w:szCs w:val="28"/>
          <w:vertAlign w:val="superscript"/>
          <w:rtl w:val="0"/>
        </w:rPr>
        <w:t xml:space="preserve">th</w:t>
      </w:r>
      <w:r w:rsidDel="00000000" w:rsidR="00000000" w:rsidRPr="00000000">
        <w:rPr>
          <w:rFonts w:ascii="Arial" w:cs="Arial" w:eastAsia="Arial" w:hAnsi="Arial"/>
          <w:sz w:val="28"/>
          <w:szCs w:val="28"/>
          <w:rtl w:val="0"/>
        </w:rPr>
        <w:t xml:space="preserve"> 2017</w:t>
      </w:r>
    </w:p>
    <w:p w:rsidR="00000000" w:rsidDel="00000000" w:rsidP="00000000" w:rsidRDefault="00000000" w:rsidRPr="00000000">
      <w:pPr>
        <w:spacing w:line="360" w:lineRule="auto"/>
        <w:contextualSpacing w:val="0"/>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05" w:right="0" w:hanging="360"/>
        <w:contextualSpacing w:val="1"/>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¿Qué se entiende por personas con NEE?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both"/>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“educarchile” del  Ministerio de Educación de Chile y la Fundación Chile. Un estudiante con NEE se entiende por </w:t>
      </w:r>
    </w:p>
    <w:p w:rsidR="00000000" w:rsidDel="00000000" w:rsidP="00000000" w:rsidRDefault="00000000" w:rsidRPr="00000000">
      <w:pPr>
        <w:spacing w:line="360" w:lineRule="auto"/>
        <w:contextualSpacing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“aquel que  precisa ayudas y recursos adicionales, ya sean humanos, materiales o pedagógicos, para conducir su proceso de desarrollo y aprendizaje, y contribuir al logro de los fines de la educación”. (2011, p. 1)</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pocas palabras, entendemos las NEE por determinadas ayudas o recursos particulares que se entrega a ciertos alumnos que enfrentan dificultades o desafíos para su aprendizaje y educación en general. Además, estos alumnos y alumnas pueden tener algún tipo de discapacidad o enfrentan problemas de vivencia escolar.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405" w:right="0" w:hanging="360"/>
        <w:contextualSpacing w:val="1"/>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¿Cuáles serían ejemplos de NEE? </w:t>
      </w:r>
      <w:r w:rsidDel="00000000" w:rsidR="00000000" w:rsidRPr="00000000">
        <w:rPr>
          <w:rtl w:val="0"/>
        </w:rPr>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importante mencionar que las personas con NEE tienen alguna deficiencia cognitiva, física, sensorial, emocional, social que afecta al aprendizaje hasta el punto en que son necesarios algunos accesos especiales al curriculum. Hay dos tipos de necesidades educativas específicas como: Las transitorias y las permanentes.</w:t>
      </w:r>
    </w:p>
    <w:p w:rsidR="00000000" w:rsidDel="00000000" w:rsidP="00000000" w:rsidRDefault="00000000" w:rsidRPr="00000000">
      <w:pPr>
        <w:spacing w:line="36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Las permanentes (su duración es para toda la vida): Asperger, Autismo, entre otras.</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-Intelectual: </w:t>
      </w:r>
      <w:r w:rsidDel="00000000" w:rsidR="00000000" w:rsidRPr="00000000">
        <w:rPr>
          <w:rFonts w:ascii="Arial" w:cs="Arial" w:eastAsia="Arial" w:hAnsi="Arial"/>
          <w:sz w:val="24"/>
          <w:szCs w:val="24"/>
          <w:rtl w:val="0"/>
        </w:rPr>
        <w:t xml:space="preserve">Funcionamiento intelectual bajo de lo normal.</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-Visual:</w:t>
      </w:r>
      <w:r w:rsidDel="00000000" w:rsidR="00000000" w:rsidRPr="00000000">
        <w:rPr>
          <w:rFonts w:ascii="Arial" w:cs="Arial" w:eastAsia="Arial" w:hAnsi="Arial"/>
          <w:sz w:val="24"/>
          <w:szCs w:val="24"/>
          <w:rtl w:val="0"/>
        </w:rPr>
        <w:t xml:space="preserve"> Uno de cada 4 niños presentan problemas visuales.</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-Auditivos:</w:t>
      </w:r>
      <w:r w:rsidDel="00000000" w:rsidR="00000000" w:rsidRPr="00000000">
        <w:rPr>
          <w:rFonts w:ascii="Arial" w:cs="Arial" w:eastAsia="Arial" w:hAnsi="Arial"/>
          <w:sz w:val="24"/>
          <w:szCs w:val="24"/>
          <w:rtl w:val="0"/>
        </w:rPr>
        <w:t xml:space="preserve"> Los problemas auditivos pueden afectar el lenguaje y las destrezas sociales.</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-Discapacidad multidéficit</w:t>
      </w:r>
      <w:r w:rsidDel="00000000" w:rsidR="00000000" w:rsidRPr="00000000">
        <w:rPr>
          <w:rFonts w:ascii="Arial" w:cs="Arial" w:eastAsia="Arial" w:hAnsi="Arial"/>
          <w:sz w:val="24"/>
          <w:szCs w:val="24"/>
          <w:rtl w:val="0"/>
        </w:rPr>
        <w:t xml:space="preserve">: Se trata de niños que poseen concurrentemente más de una discapacidad.</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-Psíquica:</w:t>
      </w:r>
      <w:r w:rsidDel="00000000" w:rsidR="00000000" w:rsidRPr="00000000">
        <w:rPr>
          <w:rFonts w:ascii="Arial" w:cs="Arial" w:eastAsia="Arial" w:hAnsi="Arial"/>
          <w:sz w:val="24"/>
          <w:szCs w:val="24"/>
          <w:rtl w:val="0"/>
        </w:rPr>
        <w:t xml:space="preserve"> Se trata de todos aquellos problemas que tienen que ver con el estado anímico del niño (Ej. Fobias).</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-Motora:</w:t>
      </w:r>
      <w:r w:rsidDel="00000000" w:rsidR="00000000" w:rsidRPr="00000000">
        <w:rPr>
          <w:rFonts w:ascii="Arial" w:cs="Arial" w:eastAsia="Arial" w:hAnsi="Arial"/>
          <w:sz w:val="24"/>
          <w:szCs w:val="24"/>
          <w:rtl w:val="0"/>
        </w:rPr>
        <w:t xml:space="preserve"> Tiene que ver con los movimientos céfalo caudal y próximo distal impide el desarrollo motor normal del cuerpo.</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Las transitorias (presentan en un periodo de escolaridad por un motivo en particular): </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Existen el trastorno emocional, la violencia intrafamiliar, el aprendizaje lento, hiperactividad, deprivación socio-económico, trastorno específicos del lenguaje.</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405" w:right="0" w:hanging="360"/>
        <w:contextualSpacing w:val="1"/>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¿Qué se entiende por integración de personas con NEE en el sistema escolar? </w:t>
      </w:r>
      <w:r w:rsidDel="00000000" w:rsidR="00000000" w:rsidRPr="00000000">
        <w:rPr>
          <w:rtl w:val="0"/>
        </w:rPr>
      </w:r>
    </w:p>
    <w:p w:rsidR="00000000" w:rsidDel="00000000" w:rsidP="00000000" w:rsidRDefault="00000000" w:rsidRPr="00000000">
      <w:pPr>
        <w:spacing w:line="360" w:lineRule="auto"/>
        <w:ind w:left="45" w:firstLine="0"/>
        <w:contextualSpacing w:val="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Según </w:t>
      </w:r>
      <w:r w:rsidDel="00000000" w:rsidR="00000000" w:rsidRPr="00000000">
        <w:rPr>
          <w:rFonts w:ascii="Arial" w:cs="Arial" w:eastAsia="Arial" w:hAnsi="Arial"/>
          <w:color w:val="000000"/>
          <w:sz w:val="24"/>
          <w:szCs w:val="24"/>
          <w:rtl w:val="0"/>
        </w:rPr>
        <w:t xml:space="preserve">Jiménez, Graf &amp; Rose (2007), define la importancia del DUA como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un</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color w:val="000000"/>
          <w:sz w:val="24"/>
          <w:szCs w:val="24"/>
          <w:rtl w:val="0"/>
        </w:rPr>
        <w:t xml:space="preserve">enfoque de instrucción fundamental que tiene el potencial de beneficiar a los estudiantes y profesores en ambos programas de educación general y especial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(p.42). A partir de estas decisiones, gracias al DUA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las integraciones de alumnos y alumnas con NEE ha</w:t>
      </w:r>
      <w:r w:rsidDel="00000000" w:rsidR="00000000" w:rsidRPr="00000000">
        <w:rPr>
          <w:rFonts w:ascii="Arial" w:cs="Arial" w:eastAsia="Arial" w:hAnsi="Arial"/>
          <w:sz w:val="24"/>
          <w:szCs w:val="24"/>
          <w:rtl w:val="0"/>
        </w:rPr>
        <w:t xml:space="preserve">n podido llevar un buen curso en cuanto a inclusión y apoyo hacia el estudiante con NEE</w:t>
      </w:r>
      <w:r w:rsidDel="00000000" w:rsidR="00000000" w:rsidRPr="00000000">
        <w:rPr>
          <w:rFonts w:ascii="Arial" w:cs="Arial" w:eastAsia="Arial" w:hAnsi="Arial"/>
          <w:color w:val="000000"/>
          <w:sz w:val="24"/>
          <w:szCs w:val="24"/>
          <w:rtl w:val="0"/>
        </w:rPr>
        <w:t xml:space="preserve">. Estas integraciones se entienden por adecuaciones ya sean curriculares (metodológicas, actividades, evaluación), que tiene tanto el establecimiento educacional, como el docente para lograr una inclusión que incluya a todos los estudiantes para cuente con una aprendizaje efectivo. </w:t>
      </w:r>
    </w:p>
    <w:p w:rsidR="00000000" w:rsidDel="00000000" w:rsidP="00000000" w:rsidRDefault="00000000" w:rsidRPr="00000000">
      <w:pPr>
        <w:spacing w:line="360" w:lineRule="auto"/>
        <w:ind w:left="45"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spacing w:line="360" w:lineRule="auto"/>
        <w:ind w:left="45"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spacing w:line="360" w:lineRule="auto"/>
        <w:ind w:left="45"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spacing w:line="360" w:lineRule="auto"/>
        <w:ind w:left="45"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spacing w:line="360" w:lineRule="auto"/>
        <w:ind w:left="45"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spacing w:line="360" w:lineRule="auto"/>
        <w:ind w:left="45"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05" w:right="0" w:hanging="360"/>
        <w:contextualSpacing w:val="1"/>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¿Qué estudiantes con NEE pueden recibir Apoyo Especializado?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405"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spacing w:line="360" w:lineRule="auto"/>
        <w:contextualSpacing w:val="0"/>
        <w:jc w:val="both"/>
        <w:rPr>
          <w:rFonts w:ascii="Arial" w:cs="Arial" w:eastAsia="Arial" w:hAnsi="Arial"/>
          <w:sz w:val="24"/>
          <w:szCs w:val="24"/>
        </w:rPr>
      </w:pPr>
      <w:bookmarkStart w:colFirst="0" w:colLast="0" w:name="_o27p77z5rhsc" w:id="0"/>
      <w:bookmarkEnd w:id="0"/>
      <w:r w:rsidDel="00000000" w:rsidR="00000000" w:rsidRPr="00000000">
        <w:rPr>
          <w:rFonts w:ascii="Arial" w:cs="Arial" w:eastAsia="Arial" w:hAnsi="Arial"/>
          <w:sz w:val="24"/>
          <w:szCs w:val="24"/>
          <w:rtl w:val="0"/>
        </w:rPr>
        <w:t xml:space="preserve">En nuestra opinión,</w:t>
      </w:r>
      <w:r w:rsidDel="00000000" w:rsidR="00000000" w:rsidRPr="00000000">
        <w:rPr>
          <w:rFonts w:ascii="Arial" w:cs="Arial" w:eastAsia="Arial" w:hAnsi="Arial"/>
          <w:sz w:val="24"/>
          <w:szCs w:val="24"/>
          <w:rtl w:val="0"/>
        </w:rPr>
        <w:t xml:space="preserve"> TODOS los estudiantes pueden y deben recibir apoyo especializado. Ante esto, según “educarchile” del  Ministerio de Educación de Chile y la Fundación Chile establece que;</w:t>
      </w:r>
    </w:p>
    <w:p w:rsidR="00000000" w:rsidDel="00000000" w:rsidP="00000000" w:rsidRDefault="00000000" w:rsidRPr="00000000">
      <w:pPr>
        <w:spacing w:line="360" w:lineRule="auto"/>
        <w:contextualSpacing w:val="0"/>
        <w:jc w:val="both"/>
        <w:rPr>
          <w:rFonts w:ascii="Arial" w:cs="Arial" w:eastAsia="Arial" w:hAnsi="Arial"/>
          <w:i w:val="0"/>
          <w:smallCaps w:val="0"/>
          <w:strike w:val="0"/>
          <w:color w:val="000000"/>
          <w:sz w:val="24"/>
          <w:szCs w:val="24"/>
          <w:u w:val="none"/>
          <w:shd w:fill="auto" w:val="clear"/>
          <w:vertAlign w:val="baseline"/>
        </w:rPr>
      </w:pPr>
      <w:bookmarkStart w:colFirst="0" w:colLast="0" w:name="_lwynvjvi79by" w:id="1"/>
      <w:bookmarkEnd w:id="1"/>
      <w:r w:rsidDel="00000000" w:rsidR="00000000" w:rsidRPr="00000000">
        <w:rPr>
          <w:rFonts w:ascii="Arial" w:cs="Arial" w:eastAsia="Arial" w:hAnsi="Arial"/>
          <w:sz w:val="24"/>
          <w:szCs w:val="24"/>
          <w:rtl w:val="0"/>
        </w:rPr>
        <w:t xml:space="preserve">“Si algún alumno o alumna tiene dificultades en el lenguaje, déficit atencional, dificultades de adaptación a su escuela y de rendimiento general, o presentan algún tipo de discapacidad como discapacidad intelectual, sordera, ceguera, autismo, problemas motores, etcétera, los apoderados pueden pedir una Evaluación de Necesidades Especiales y podrán recibir apoyo especializado”.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05" w:right="0" w:hanging="360"/>
        <w:contextualSpacing w:val="1"/>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¿Qué es la “subvención para educación especial”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 acuerdo a lo que señala el artículo 52º del DS Nº 170/09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serán beneficiarios del Incremento de la Subvención de Educación Especial Diferencial aquellos alumnos y alumnas en situación de Discapacidad visual, auditiva, disfasia severa, trastorno del espectro autista, discapacidad intelectual severa, discapacidad múltiple o sordo ceguera, que de acuerdo a sus necesidades educativas especiales, deban ser educados en cursos de no más de 8 estudiantes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otras palabras, consiste en una ayuda que otorga el Gobierno hacia los establecimientos que cuentan con alumnos/as en cualquier situación de discapacidad.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el Programa de Integración Escolar PIE Ley de Inclusión Escolar 20.845 la subvención para educación especial también;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“cuenta con un conjunto de recursos y apoyos para los centros educativos, que en el aula se traducen en estrategias pedagógicas diversificadas, recursos humanos especializados, capacitación para los docentes y materiales educativos pertinentes a las necesidades de los estudiantes” (p.9).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highlight w:val="cyan"/>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both"/>
        <w:rPr>
          <w:rFonts w:ascii="Arial" w:cs="Arial" w:eastAsia="Arial" w:hAnsi="Arial"/>
          <w:b w:val="1"/>
          <w:i w:val="0"/>
          <w:smallCaps w:val="0"/>
          <w:strike w:val="0"/>
          <w:color w:val="ff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Cuáles son las  innovaciones y adecuaciones curriculares que los establecimientos educacionales comunes del país deberán incorporar para permitir y facilitar a las personas que tengan NEE tener acceso, permanezcan y progresen  en dicho sistema?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Dependien</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 de cada establecimiento, esas adecuaciones curriculares </w:t>
      </w:r>
      <w:r w:rsidDel="00000000" w:rsidR="00000000" w:rsidRPr="00000000">
        <w:rPr>
          <w:rFonts w:ascii="Arial" w:cs="Arial" w:eastAsia="Arial" w:hAnsi="Arial"/>
          <w:sz w:val="24"/>
          <w:szCs w:val="24"/>
          <w:rtl w:val="0"/>
        </w:rPr>
        <w:t xml:space="preserve">tienen que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adecua</w:t>
      </w:r>
      <w:r w:rsidDel="00000000" w:rsidR="00000000" w:rsidRPr="00000000">
        <w:rPr>
          <w:rFonts w:ascii="Arial" w:cs="Arial" w:eastAsia="Arial" w:hAnsi="Arial"/>
          <w:sz w:val="24"/>
          <w:szCs w:val="24"/>
          <w:rtl w:val="0"/>
        </w:rPr>
        <w:t xml:space="preserve">r las metodologías, infraestructuras y planificaciones con el objetivo de lograr una integración al desarrollo académico e íntegro a aquellos alumnos con NEE. Además, tenemos que tomar en cuenta que El diseño Universal del aprendizaje (DUA) está orientada en la flexibilidad a los contenidos y objetivos del currículo, su principal propósito es tomar todas las medidas necesarias para que todo el equipo pedagógico logre adecuar el currículum, y así hacerlo más amoldable para que todos y todas tengan la misma igualdad de oportunidades en el aula.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b w:val="1"/>
          <w:i w:val="0"/>
          <w:smallCaps w:val="0"/>
          <w:strike w:val="0"/>
          <w:color w:val="ff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¿Qué se entiende por  “establecimientos de enseñanza regular con programas de integración escolar?” ¿Que otros tipos de establecimientos  atienden casos de NEE?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entiende por;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una estrategia educativa con enfoque inclusivo, en la medida en que su propósito es favorecer la participación y el logro de los objetivos de aprendizaje de todos los estudiantes, aportando recursos y equiparando las oportunidades educativas especialmente para aquellos que presentan mayores necesidades de apoyo para progresar en sus aprendizajes”.(p.9)</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Otros tipos de establecimientos que atienden casos de NEE son las escuelas de lenguaje. Estas están especializadas y adaptadas para tratar con estudiantes con alguna deficiencia cognitiva, física, sensorial, emocional, social que afecta su aprendizaje.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PLAN DE ADECUACIÓN CURRICULARES INDIVIDUALIZADOS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La impulsividad es a menudo un síntoma de una condición cerebral como el TDAH. De acuerdo al Departamento de Psiquiatría y Ciencias del Comportamiento de la Universidad de Houston, Texas, la impulsividad puede ser definida como una acción rápida sin previsión ni juicio consciente. Por lo que aquellas personas que sufren de esta condición, puede realizar acciones agresivas sin ser conscientes de ello. Por otra parte, la impulsividad está presente en adulto y niños. En el caso de los adultos que padecen esta condición, ésta se encuentra presente por dos razones principales, siendo la primera una condición que ha sido mantenida desde la infancia, la cual nunca fue tratada de manera pertinente, o por periodos de abstinencia, producto del abuso de sustancias, como drogas y alcohol, en la edad adulta. Así mismo, en el caso de los niños, la impulsividad es causada por un gran número de razones, siendo las principales THAD y una crianza incorrecta por parte de los padre. Además, los niños son tres veces más propensos que las niñas a esta condición que afecta entre 8% y 10% de ellos entre los 8 y 17 años de edad.</w:t>
      </w:r>
    </w:p>
    <w:p w:rsidR="00000000" w:rsidDel="00000000" w:rsidP="00000000" w:rsidRDefault="00000000" w:rsidRPr="00000000">
      <w:pPr>
        <w:spacing w:after="0" w:before="200" w:line="360" w:lineRule="auto"/>
        <w:ind w:firstLine="720"/>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En cuanto a las implicancias en el aprendizaje, los niños que sufren de impulsividad pueden presentar las siguientes dificultades: </w:t>
      </w:r>
    </w:p>
    <w:p w:rsidR="00000000" w:rsidDel="00000000" w:rsidP="00000000" w:rsidRDefault="00000000" w:rsidRPr="00000000">
      <w:pPr>
        <w:numPr>
          <w:ilvl w:val="0"/>
          <w:numId w:val="1"/>
        </w:numPr>
        <w:spacing w:after="0" w:before="200" w:line="360" w:lineRule="auto"/>
        <w:ind w:left="1440" w:hanging="360"/>
        <w:contextualSpacing w:val="1"/>
        <w:rPr>
          <w:rFonts w:ascii="Arial" w:cs="Arial" w:eastAsia="Arial" w:hAnsi="Arial"/>
          <w:sz w:val="24"/>
          <w:szCs w:val="24"/>
        </w:rPr>
      </w:pPr>
      <w:r w:rsidDel="00000000" w:rsidR="00000000" w:rsidRPr="00000000">
        <w:rPr>
          <w:rFonts w:ascii="Arial" w:cs="Arial" w:eastAsia="Arial" w:hAnsi="Arial"/>
          <w:sz w:val="24"/>
          <w:szCs w:val="24"/>
          <w:rtl w:val="0"/>
        </w:rPr>
        <w:t xml:space="preserve">Es posible que no entiendan las instrucciones, ya que tienen problemas para seguir indicaciones y en su lugar, solo actúan sin meditar.</w:t>
      </w:r>
    </w:p>
    <w:p w:rsidR="00000000" w:rsidDel="00000000" w:rsidP="00000000" w:rsidRDefault="00000000" w:rsidRPr="00000000">
      <w:pPr>
        <w:numPr>
          <w:ilvl w:val="0"/>
          <w:numId w:val="1"/>
        </w:numPr>
        <w:spacing w:after="0" w:before="200" w:line="360" w:lineRule="auto"/>
        <w:ind w:left="1440" w:hanging="360"/>
        <w:contextualSpacing w:val="1"/>
        <w:rPr>
          <w:rFonts w:ascii="Arial" w:cs="Arial" w:eastAsia="Arial" w:hAnsi="Arial"/>
          <w:sz w:val="24"/>
          <w:szCs w:val="24"/>
        </w:rPr>
      </w:pPr>
      <w:r w:rsidDel="00000000" w:rsidR="00000000" w:rsidRPr="00000000">
        <w:rPr>
          <w:rFonts w:ascii="Arial" w:cs="Arial" w:eastAsia="Arial" w:hAnsi="Arial"/>
          <w:sz w:val="24"/>
          <w:szCs w:val="24"/>
          <w:rtl w:val="0"/>
        </w:rPr>
        <w:t xml:space="preserve">Tienen problemas para comunicar sus emociones o sentimiento, por lo que al no ser comprendidos les causa frustración, lo que a su vez puede desencadenar un acto de impulsividad. </w:t>
      </w:r>
    </w:p>
    <w:p w:rsidR="00000000" w:rsidDel="00000000" w:rsidP="00000000" w:rsidRDefault="00000000" w:rsidRPr="00000000">
      <w:pPr>
        <w:numPr>
          <w:ilvl w:val="0"/>
          <w:numId w:val="1"/>
        </w:numPr>
        <w:spacing w:after="0" w:before="200" w:line="360" w:lineRule="auto"/>
        <w:ind w:left="1440" w:hanging="360"/>
        <w:contextualSpacing w:val="1"/>
        <w:rPr>
          <w:rFonts w:ascii="Arial" w:cs="Arial" w:eastAsia="Arial" w:hAnsi="Arial"/>
          <w:sz w:val="19"/>
          <w:szCs w:val="19"/>
          <w:u w:val="none"/>
        </w:rPr>
      </w:pPr>
      <w:r w:rsidDel="00000000" w:rsidR="00000000" w:rsidRPr="00000000">
        <w:rPr>
          <w:rFonts w:ascii="Arial" w:cs="Arial" w:eastAsia="Arial" w:hAnsi="Arial"/>
          <w:sz w:val="24"/>
          <w:szCs w:val="24"/>
          <w:rtl w:val="0"/>
        </w:rPr>
        <w:t xml:space="preserve">Es posible que algunos niños no entiendan cómo funciona la conversación, por lo que es probable que sepan cuándo dejar de hablar o cómo mantenerse al tanto del tema. </w:t>
      </w:r>
      <w:r w:rsidDel="00000000" w:rsidR="00000000" w:rsidRPr="00000000">
        <w:rPr>
          <w:rFonts w:ascii="Arial" w:cs="Arial" w:eastAsia="Arial" w:hAnsi="Arial"/>
          <w:sz w:val="19"/>
          <w:szCs w:val="19"/>
          <w:rtl w:val="0"/>
        </w:rPr>
        <w:tab/>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Durante el periodo en que realicé mi práctica Nº 3 en el colegio Olimpia Guzman Bello, ubicado en la comuna de Chiguayante, Concepción, tuve la oportunidad de trabajar con jóvenes de séptimo año y niños de tercer año. En este último, se encuentra un niño diagnosticado con impulsividad, el cual mantiene un tratamiento farmacológico que le ayuda a mantenerse estable durante el día. No obstante, se puede apreciar a simple vista que los medicamentos que el alumno ingiere, poseen una potencia que sobre su capacidad de asimilación, dejando al niño en un estado en el cual no presenta la energía y dinamismo típicos de un niño de su edad. Por otra parte, el alumno es evaluado con un 50% de exigencia es sus evaluaciones, además se le otorga más tiempo para realizar las actividades de la clase y se le monitorea más rigurosamente para confirmar la comprensión de las instrucciones dadas. Sin embargo, en la mayoría de las veces el estudiante no presenta diferencias respecto a sus pares en cuanto al tiempo necesario para realizar las actividades o la comprensión de instrucciones en las mismas.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tl w:val="0"/>
        </w:rPr>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Consideramos que los procesos de integración implementados en nuestro país, si bien son muy desafiantes para los docentes, representan una oportunidad que beneficia a todos los ámbitos de la educación. Esto, porque para los docentes representa un conocimiento valioso que refleja la realidad de nuestra sociedad, la cual lucha y avanza constantemente en pos de derechos universales para todos. Por lo que no ajustarse a esta realidad es un acto de negligencia por parte de cualquier docente. Así mismo, es un beneficio crucial para los estudiantes cuyas necesidades deben ser cubiertas por derecho o ley establecida por el estado. Por último, existen un gran número de alternativas que van en ayuda de mejorar los procesos de inclusión de nuestro país. En este ámbito, nos gustaría sugerir una mayor difusión del tema dentro y fuera de la comunidad escolar, con el fin de lograr que la mayor cantidad de gente posible este al tanto de los beneficios del tema y derribar mitos respecto a este. Finalmente, las capacitaciones respecto a las temáticas de inclusión debieran ser implementadas de manera constante no solo a los docentes de un establecimiento educativo, sino que a todos los miembros que lo conforman, para así tener bases actualizadas sobre procedimientos, técnicas y estrategias que ayudarán a los alumnos que las requieran. </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Bibliografía mínima sugerida : </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Las necesidades educativas especiales     </w:t>
      </w:r>
      <w:hyperlink r:id="rId6">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http://www.educarchile.cl/ech/pro/app/detalle?id=210659</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Apoyo especializado a los estudiantes con necesidades educativas especiales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Arial" w:cs="Arial" w:eastAsia="Arial" w:hAnsi="Arial"/>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http://www.educarchile.cl/ech/pro/app/detalle?id=210863</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NORMATIVA EDUCACIÓN ESPECIAL :   Decretos e Instructivos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Arial" w:cs="Arial" w:eastAsia="Arial" w:hAnsi="Arial"/>
          <w:i w:val="0"/>
          <w:smallCaps w:val="0"/>
          <w:strike w:val="0"/>
          <w:color w:val="000000"/>
          <w:sz w:val="24"/>
          <w:szCs w:val="24"/>
          <w:u w:val="none"/>
          <w:shd w:fill="auto" w:val="clear"/>
          <w:vertAlign w:val="baseline"/>
        </w:rPr>
      </w:pPr>
      <w:hyperlink r:id="rId8">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http://portales.mineduc.cl/usuarios/edu.especial/doc/201304231640530.DecretoN0198.pdf</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Arial" w:cs="Arial" w:eastAsia="Arial" w:hAnsi="Arial"/>
          <w:i w:val="0"/>
          <w:smallCaps w:val="0"/>
          <w:strike w:val="0"/>
          <w:color w:val="000000"/>
          <w:sz w:val="24"/>
          <w:szCs w:val="24"/>
          <w:u w:val="none"/>
          <w:shd w:fill="auto" w:val="clear"/>
          <w:vertAlign w:val="baseline"/>
        </w:rPr>
      </w:pPr>
      <w:hyperlink r:id="rId9">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http://portales.mineduc.cl/index2.php?id_portal=20&amp;id_seccion=2490&amp;id_contenido=11793</w:t>
        </w:r>
      </w:hyperlink>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contextualSpacing w:val="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Decreto Supremo Nº170/2009</w:t>
      </w:r>
      <w:r w:rsidDel="00000000" w:rsidR="00000000" w:rsidRPr="00000000">
        <w:rPr>
          <w:rFonts w:ascii="Arial" w:cs="Arial" w:eastAsia="Arial" w:hAnsi="Arial"/>
          <w:sz w:val="24"/>
          <w:szCs w:val="24"/>
          <w:rtl w:val="0"/>
        </w:rPr>
        <w:t xml:space="preserve">: El Decreto N° 170 es el reglamento de la Ley Nº 20201 y fija normas para determinar los alumnos con necesidades educativas especiales que serán beneficiarios de la subvención para educación especial.</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Decreto Supremo Nº 01/98:</w:t>
      </w:r>
      <w:r w:rsidDel="00000000" w:rsidR="00000000" w:rsidRPr="00000000">
        <w:rPr>
          <w:rFonts w:ascii="Arial" w:cs="Arial" w:eastAsia="Arial" w:hAnsi="Arial"/>
          <w:sz w:val="24"/>
          <w:szCs w:val="24"/>
          <w:rtl w:val="0"/>
        </w:rPr>
        <w:t xml:space="preserve"> Reglamenta Capítulo II de la Ley Nº 19.284/94 de Integración Social de las personas con discapacidad.</w:t>
      </w:r>
    </w:p>
    <w:p w:rsidR="00000000" w:rsidDel="00000000" w:rsidP="00000000" w:rsidRDefault="00000000" w:rsidRPr="0000000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Decreto Exento Nº83/2015:</w:t>
      </w:r>
      <w:r w:rsidDel="00000000" w:rsidR="00000000" w:rsidRPr="00000000">
        <w:rPr>
          <w:rFonts w:ascii="Arial" w:cs="Arial" w:eastAsia="Arial" w:hAnsi="Arial"/>
          <w:sz w:val="24"/>
          <w:szCs w:val="24"/>
          <w:rtl w:val="0"/>
        </w:rPr>
        <w:t xml:space="preserve"> El Decreto N° 83 aprueba Criterios y Orientaciones de Adecuación Curricular para Estudiantes con Necesidades Educativas Especiales de Educación Parvulario y Educación Básica.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360" w:lineRule="auto"/>
        <w:ind w:left="0" w:right="0" w:firstLine="0"/>
        <w:contextualSpacing w:val="0"/>
        <w:jc w:val="both"/>
        <w:rPr>
          <w:rFonts w:ascii="Arial" w:cs="Arial" w:eastAsia="Arial" w:hAnsi="Arial"/>
          <w:color w:val="000000"/>
          <w:sz w:val="24"/>
          <w:szCs w:val="24"/>
          <w:highlight w:val="green"/>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pPr>
        <w:spacing w:line="360" w:lineRule="auto"/>
        <w:contextualSpacing w:val="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Jiménez, T. C., Graf, V. L., &amp; Rose, E. (2007). Gaining access to general education: The promise of universal design for learning. Issues in Teacher Education, 16(2), 41. Recuperado de http://files.eric.ed.gov/fulltext/EJ796250.pdf</w:t>
      </w:r>
    </w:p>
    <w:sectPr>
      <w:pgSz w:h="15840" w:w="12240"/>
      <w:pgMar w:bottom="426" w:top="1417" w:left="1701" w:right="132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Cambria"/>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lowerLetter"/>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s-C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portales.mineduc.cl/index2.php?id_portal=20&amp;id_seccion=2490&amp;id_contenido=11793" TargetMode="External"/><Relationship Id="rId5" Type="http://schemas.openxmlformats.org/officeDocument/2006/relationships/image" Target="media/image2.png"/><Relationship Id="rId6" Type="http://schemas.openxmlformats.org/officeDocument/2006/relationships/hyperlink" Target="http://www.educarchile.cl/ech/pro/app/detalle?id=210659" TargetMode="External"/><Relationship Id="rId7" Type="http://schemas.openxmlformats.org/officeDocument/2006/relationships/hyperlink" Target="http://www.educarchile.cl/ech/pro/app/detalle?id=210863" TargetMode="External"/><Relationship Id="rId8" Type="http://schemas.openxmlformats.org/officeDocument/2006/relationships/hyperlink" Target="http://portales.mineduc.cl/usuarios/edu.especial/doc/201304231640530.DecretoN0198.pdf" TargetMode="External"/></Relationships>
</file>